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ind w:left="708" w:hanging="708"/>
        <w:jc w:val="both"/>
        <w:rPr>
          <w:rFonts w:ascii="Arial" w:cs="Arial" w:eastAsia="Arial" w:hAnsi="Arial"/>
          <w:b w:val="1"/>
          <w:bCs w:val="1"/>
          <w:color w:val="38761d"/>
          <w:sz w:val="24"/>
          <w:szCs w:val="24"/>
        </w:rPr>
      </w:pPr>
      <w:r w:rsidDel="00000000" w:rsidR="00000000" w:rsidRPr="00000000">
        <w:rPr>
          <w:rFonts w:ascii="Arial" w:cs="Arial" w:eastAsia="Arial" w:hAnsi="Arial"/>
          <w:b w:val="1"/>
          <w:bCs w:val="1"/>
          <w:color w:val="38761d"/>
          <w:sz w:val="24"/>
          <w:szCs w:val="24"/>
          <w:rtl w:val="0"/>
        </w:rPr>
        <w:t xml:space="preserve">INFORME EJECUTIVO METAS ESTRATÉGICAS PEI</w:t>
      </w:r>
    </w:p>
    <w:p w:rsidR="00000000" w:rsidDel="00000000" w:rsidP="00000000" w:rsidRDefault="00000000" w:rsidRPr="00000000" w14:paraId="00000002">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color w:val="38761d"/>
          <w:sz w:val="24"/>
          <w:szCs w:val="24"/>
          <w:rtl w:val="0"/>
        </w:rPr>
        <w:t xml:space="preserve">LÍNEA 1. Reducir la vulnerabilidad de Bogotá a los impactos del cambio climático</w:t>
      </w:r>
      <w:r w:rsidDel="00000000" w:rsidR="00000000" w:rsidRPr="00000000">
        <w:rPr>
          <w:rtl w:val="0"/>
        </w:rPr>
      </w:r>
    </w:p>
    <w:p w:rsidR="00000000" w:rsidDel="00000000" w:rsidP="00000000" w:rsidRDefault="00000000" w:rsidRPr="00000000" w14:paraId="00000003">
      <w:pPr>
        <w:spacing w:after="28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Corte: noviembre de 2025</w:t>
      </w:r>
      <w:r w:rsidDel="00000000" w:rsidR="00000000" w:rsidRPr="00000000">
        <w:rPr>
          <w:rFonts w:ascii="Arial" w:cs="Arial" w:eastAsia="Arial" w:hAnsi="Arial"/>
          <w:rtl w:val="0"/>
        </w:rPr>
        <w:br w:type="textWrapping"/>
      </w:r>
      <w:sdt>
        <w:sdtPr>
          <w:id w:val="953430182"/>
          <w:tag w:val="goog_rdk_0"/>
        </w:sdtPr>
        <w:sdtContent>
          <w:r w:rsidDel="00000000" w:rsidR="00000000" w:rsidRPr="00000000">
            <w:rPr>
              <w:rFonts w:ascii="Arial Unicode MS" w:cs="Arial Unicode MS" w:eastAsia="Arial Unicode MS" w:hAnsi="Arial Unicode MS"/>
              <w:b w:val="1"/>
              <w:bCs w:val="1"/>
              <w:rtl w:val="0"/>
            </w:rPr>
            <w:t xml:space="preserve">Estructura: → Metas con rezago en cumplimiento → Metas con avance parcial → Metas con ejecución normal</w:t>
          </w:r>
        </w:sdtContent>
      </w:sdt>
      <w:r w:rsidDel="00000000" w:rsidR="00000000" w:rsidRPr="00000000">
        <w:rPr>
          <w:rtl w:val="0"/>
        </w:rPr>
      </w:r>
    </w:p>
    <w:p w:rsidR="00000000" w:rsidDel="00000000" w:rsidP="00000000" w:rsidRDefault="00000000" w:rsidRPr="00000000" w14:paraId="00000004">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Dirección de Procesos Sancionatorios (DPS)</w:t>
      </w:r>
    </w:p>
    <w:p w:rsidR="00000000" w:rsidDel="00000000" w:rsidP="00000000" w:rsidRDefault="00000000" w:rsidRPr="00000000" w14:paraId="00000006">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Impulsar el 93% de los expedientes sancionatorios iniciados durante el cuatrienio (2024-2027).</w:t>
      </w:r>
    </w:p>
    <w:p w:rsidR="00000000" w:rsidDel="00000000" w:rsidP="00000000" w:rsidRDefault="00000000" w:rsidRPr="00000000" w14:paraId="00000007">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Dos Indicadores:</w:t>
      </w:r>
    </w:p>
    <w:p w:rsidR="00000000" w:rsidDel="00000000" w:rsidP="00000000" w:rsidRDefault="00000000" w:rsidRPr="00000000" w14:paraId="00000008">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No se cuenta con reporte de avance para el mes de noviembre. Frente a los expedientes sancionatorios con decisiones de fondo la dependencia informa se reporta un avance del 0% que solicitará que la meta del 2025 (160) se reprograme para la vigencia 2026, quedando la meta en 685 decisiones de fondo en expedientes sancionatorios del cuatrienio.</w:t>
      </w:r>
    </w:p>
    <w:p w:rsidR="00000000" w:rsidDel="00000000" w:rsidP="00000000" w:rsidRDefault="00000000" w:rsidRPr="00000000" w14:paraId="00000009">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Respecto al número de expedientes del cuatrienio con impulso procesal se mantiene lo reportado el mes de octubre con un 41,6% de avance.</w:t>
      </w:r>
    </w:p>
    <w:p w:rsidR="00000000" w:rsidDel="00000000" w:rsidP="00000000" w:rsidRDefault="00000000" w:rsidRPr="00000000" w14:paraId="0000000A">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Alertas: El avance reportado se encuentra por debajo del 50%, es necesario que la dependencia establezca claramente el alcance en el cumplimiento de la meta al cierre de la vigencia y la necesidad de rezagar la meta para 2026.</w:t>
      </w:r>
    </w:p>
    <w:p w:rsidR="00000000" w:rsidDel="00000000" w:rsidP="00000000" w:rsidRDefault="00000000" w:rsidRPr="00000000" w14:paraId="0000000B">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Resolver de fondo 4.314 expedientes de más de 10 años (Ley 2387)</w:t>
      </w:r>
      <w:r w:rsidDel="00000000" w:rsidR="00000000" w:rsidRPr="00000000">
        <w:rPr>
          <w:rFonts w:ascii="Arial" w:cs="Arial" w:eastAsia="Arial" w:hAnsi="Arial"/>
          <w:rtl w:val="0"/>
        </w:rPr>
        <w:br w:type="textWrapping"/>
        <w:t xml:space="preserve">No se cuenta con reporte de avance para el mes de noviembre. Al mes de octubre Se han resuelto 396 expedientes lo cual representa el 84,4% de la meta para 2025 y el 9,2% de la meta del cuatrienio, Para el cierre de la vigencia se encuentra pendiente resolver de fondo 104 expedientes.</w:t>
      </w:r>
    </w:p>
    <w:p w:rsidR="00000000" w:rsidDel="00000000" w:rsidP="00000000" w:rsidRDefault="00000000" w:rsidRPr="00000000" w14:paraId="0000000C">
      <w:pPr>
        <w:spacing w:after="0" w:before="280" w:line="240" w:lineRule="auto"/>
        <w:jc w:val="both"/>
        <w:rPr>
          <w:rFonts w:ascii="Arial" w:cs="Arial" w:eastAsia="Arial" w:hAnsi="Arial"/>
        </w:rPr>
      </w:pPr>
      <w:r w:rsidDel="00000000" w:rsidR="00000000" w:rsidRPr="00000000">
        <w:rPr>
          <w:rFonts w:ascii="Arial" w:cs="Arial" w:eastAsia="Arial" w:hAnsi="Arial"/>
          <w:rtl w:val="0"/>
        </w:rPr>
        <w:t xml:space="preserve">Alerta: Persisten riesgos de incumplimiento por capacidad operativa y tiempos asociados.</w:t>
      </w:r>
    </w:p>
    <w:p w:rsidR="00000000" w:rsidDel="00000000" w:rsidP="00000000" w:rsidRDefault="00000000" w:rsidRPr="00000000" w14:paraId="0000000D">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Dirección de Control Ambiental</w:t>
      </w:r>
    </w:p>
    <w:p w:rsidR="00000000" w:rsidDel="00000000" w:rsidP="00000000" w:rsidRDefault="00000000" w:rsidRPr="00000000" w14:paraId="0000000F">
      <w:pPr>
        <w:spacing w:after="280" w:before="280" w:line="240" w:lineRule="auto"/>
        <w:jc w:val="both"/>
        <w:rPr>
          <w:rFonts w:ascii="Arial" w:cs="Arial" w:eastAsia="Arial" w:hAnsi="Arial"/>
        </w:rPr>
      </w:pPr>
      <w:bookmarkStart w:colFirst="0" w:colLast="0" w:name="_heading=h.acxzrnd64vfb" w:id="0"/>
      <w:bookmarkEnd w:id="0"/>
      <w:r w:rsidDel="00000000" w:rsidR="00000000" w:rsidRPr="00000000">
        <w:rPr>
          <w:rFonts w:ascii="Arial" w:cs="Arial" w:eastAsia="Arial" w:hAnsi="Arial"/>
          <w:b w:val="1"/>
          <w:bCs w:val="1"/>
          <w:rtl w:val="0"/>
        </w:rPr>
        <w:t xml:space="preserve">Seguimiento ordinario al 75% de los proyectos licenciados a 2024</w:t>
      </w:r>
      <w:r w:rsidDel="00000000" w:rsidR="00000000" w:rsidRPr="00000000">
        <w:rPr>
          <w:rFonts w:ascii="Arial" w:cs="Arial" w:eastAsia="Arial" w:hAnsi="Arial"/>
          <w:rtl w:val="0"/>
        </w:rPr>
        <w:br w:type="textWrapping"/>
        <w:t xml:space="preserve">No se cuenta con reporte de avance para el mes de noviembre. Al 31 de octubre se reporta un avance del 25% en la meta. Se realizado 2 de los 8 seguimientos proyectados para 2025. El cumplimiento depende de que no aumenten las solicitudes de licenciamiento, lo cual podría sobrepasar la capacidad actual del equipo. </w:t>
      </w:r>
    </w:p>
    <w:p w:rsidR="00000000" w:rsidDel="00000000" w:rsidP="00000000" w:rsidRDefault="00000000" w:rsidRPr="00000000" w14:paraId="00000010">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Alertas: Se requiere evaluar las capacidades instaladas para atender solicitudes emergentes de seguimiento ordinario a los proyectos licenciados.</w:t>
      </w:r>
    </w:p>
    <w:p w:rsidR="00000000" w:rsidDel="00000000" w:rsidP="00000000" w:rsidRDefault="00000000" w:rsidRPr="00000000" w14:paraId="00000011">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Evaluaciones de licencia ambiental en tiempos de ley (100%)</w:t>
      </w:r>
      <w:r w:rsidDel="00000000" w:rsidR="00000000" w:rsidRPr="00000000">
        <w:rPr>
          <w:rFonts w:ascii="Arial" w:cs="Arial" w:eastAsia="Arial" w:hAnsi="Arial"/>
          <w:rtl w:val="0"/>
        </w:rPr>
        <w:br w:type="textWrapping"/>
        <w:t xml:space="preserve">No se cuenta con reporte de avance para el mes de noviembre. Actualmente se reporta el cumplimiento del 50%, es decir una de dos licencias se resolvieron en tiempos de ley.</w:t>
      </w:r>
    </w:p>
    <w:p w:rsidR="00000000" w:rsidDel="00000000" w:rsidP="00000000" w:rsidRDefault="00000000" w:rsidRPr="00000000" w14:paraId="00000012">
      <w:pPr>
        <w:spacing w:after="0" w:before="280" w:line="240" w:lineRule="auto"/>
        <w:jc w:val="both"/>
        <w:rPr>
          <w:rFonts w:ascii="Arial" w:cs="Arial" w:eastAsia="Arial" w:hAnsi="Arial"/>
        </w:rPr>
      </w:pPr>
      <w:r w:rsidDel="00000000" w:rsidR="00000000" w:rsidRPr="00000000">
        <w:rPr>
          <w:rFonts w:ascii="Arial" w:cs="Arial" w:eastAsia="Arial" w:hAnsi="Arial"/>
          <w:rtl w:val="0"/>
        </w:rPr>
        <w:t xml:space="preserve">Alertas: La dependencia debe aclarar las causas del incumplimiento y proponer un ajuste operativo para 2026.</w:t>
      </w:r>
    </w:p>
    <w:p w:rsidR="00000000" w:rsidDel="00000000" w:rsidP="00000000" w:rsidRDefault="00000000" w:rsidRPr="00000000" w14:paraId="00000013">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 Biodiversidad</w:t>
      </w:r>
    </w:p>
    <w:p w:rsidR="00000000" w:rsidDel="00000000" w:rsidP="00000000" w:rsidRDefault="00000000" w:rsidRPr="00000000" w14:paraId="00000015">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Restaurar 2.145 hectáreas (siembra y mantenimiento)</w:t>
      </w:r>
      <w:r w:rsidDel="00000000" w:rsidR="00000000" w:rsidRPr="00000000">
        <w:rPr>
          <w:rFonts w:ascii="Arial" w:cs="Arial" w:eastAsia="Arial" w:hAnsi="Arial"/>
          <w:rtl w:val="0"/>
        </w:rPr>
        <w:br w:type="textWrapping"/>
        <w:t xml:space="preserve">No se cuenta con reporte para el mes de noviembre. Los avances actuales son inferiores al 23% de cumplimiento, lo que evidencia que la meta difícilmente será lograda. Se solicita a la dependencia definir plan de contingencia, factores de atraso y requerimientos operativos. Esta información se actualiza con reportes de SEGPLAN y desde planes operativos, es importante generar el reporte cualitativo y los soportes respecto al proceso de restauración.</w:t>
      </w:r>
    </w:p>
    <w:p w:rsidR="00000000" w:rsidDel="00000000" w:rsidP="00000000" w:rsidRDefault="00000000" w:rsidRPr="00000000" w14:paraId="00000016">
      <w:pPr>
        <w:spacing w:after="0" w:before="20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 Calidad del Aire, Auditiva y Visual (SCAAV)</w:t>
      </w:r>
    </w:p>
    <w:p w:rsidR="00000000" w:rsidDel="00000000" w:rsidP="00000000" w:rsidRDefault="00000000" w:rsidRPr="00000000" w14:paraId="00000018">
      <w:pPr>
        <w:spacing w:after="28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Disminuir 8% el material particulado (FONCARGA, ZUMA)</w:t>
      </w:r>
      <w:r w:rsidDel="00000000" w:rsidR="00000000" w:rsidRPr="00000000">
        <w:rPr>
          <w:rFonts w:ascii="Arial" w:cs="Arial" w:eastAsia="Arial" w:hAnsi="Arial"/>
          <w:rtl w:val="0"/>
        </w:rPr>
        <w:br w:type="textWrapping"/>
        <w:t xml:space="preserve">Es una meta crítica con dificultad en su seguimiento, con respecto a lo reportado en PEI y en planes operativos, actualmente no hay renovaciones de vehículos a través de Foncarga, no hay vinculación de empresas para el apadrinamiento y no se cuenta con reporte de avance acumulado para las 39 acciones de la ZUMA. La SCAAV no ha remitido información, lo que impide el seguimiento. Se requiere revisión de capacidad operativa, responsabilidades y cronograma.</w:t>
      </w:r>
    </w:p>
    <w:p w:rsidR="00000000" w:rsidDel="00000000" w:rsidP="00000000" w:rsidRDefault="00000000" w:rsidRPr="00000000" w14:paraId="00000019">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Gestión de trámites de publicidad exterior y fuentes móviles/fijas (descongestión)</w:t>
      </w:r>
      <w:r w:rsidDel="00000000" w:rsidR="00000000" w:rsidRPr="00000000">
        <w:rPr>
          <w:rFonts w:ascii="Arial" w:cs="Arial" w:eastAsia="Arial" w:hAnsi="Arial"/>
          <w:rtl w:val="0"/>
        </w:rPr>
        <w:br w:type="textWrapping"/>
        <w:t xml:space="preserve">Los retrasos se explican por falta de capacidad operativa. Se requiere ajuste de metas, plan de carga laboral y definición de cronograma 2026.</w:t>
      </w:r>
    </w:p>
    <w:p w:rsidR="00000000" w:rsidDel="00000000" w:rsidP="00000000" w:rsidRDefault="00000000" w:rsidRPr="00000000" w14:paraId="0000001A">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 Silvicultura</w:t>
      </w:r>
    </w:p>
    <w:p w:rsidR="00000000" w:rsidDel="00000000" w:rsidP="00000000" w:rsidRDefault="00000000" w:rsidRPr="00000000" w14:paraId="0000001C">
      <w:pPr>
        <w:spacing w:after="28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Gestión del riesgo de volcamiento (239.825 árboles)</w:t>
      </w:r>
      <w:r w:rsidDel="00000000" w:rsidR="00000000" w:rsidRPr="00000000">
        <w:rPr>
          <w:rFonts w:ascii="Arial" w:cs="Arial" w:eastAsia="Arial" w:hAnsi="Arial"/>
          <w:rtl w:val="0"/>
        </w:rPr>
        <w:br w:type="textWrapping"/>
        <w:t xml:space="preserve">Se cuenta con información cuantitativa, pero no cualitativa ni alertas. La dependencia se encuentra en empalme con la nueva subdirección y no ha entregado insumos necesarios para la toma de decisiones.</w:t>
      </w:r>
    </w:p>
    <w:p w:rsidR="00000000" w:rsidDel="00000000" w:rsidP="00000000" w:rsidRDefault="00000000" w:rsidRPr="00000000" w14:paraId="0000001D">
      <w:pPr>
        <w:spacing w:after="28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Validar plantación de 25.002 árboles (mecanismo de compensación)</w:t>
      </w:r>
      <w:r w:rsidDel="00000000" w:rsidR="00000000" w:rsidRPr="00000000">
        <w:rPr>
          <w:rFonts w:ascii="Arial" w:cs="Arial" w:eastAsia="Arial" w:hAnsi="Arial"/>
          <w:rtl w:val="0"/>
        </w:rPr>
        <w:br w:type="textWrapping"/>
        <w:t xml:space="preserve">La dependencia Informa la necesidad de cambio de la meta pasando de 2002 árboles proyectados a solo 3 ejecutados, no existe un soporte formal para realizar la modificación. Se requiere ajustar la meta, aclarar el alcance y oficializar la solicitud.</w:t>
      </w:r>
    </w:p>
    <w:p w:rsidR="00000000" w:rsidDel="00000000" w:rsidP="00000000" w:rsidRDefault="00000000" w:rsidRPr="00000000" w14:paraId="0000001E">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Trámites rezagados de aprovechamiento forestal por obra</w:t>
      </w:r>
      <w:r w:rsidDel="00000000" w:rsidR="00000000" w:rsidRPr="00000000">
        <w:rPr>
          <w:rFonts w:ascii="Arial" w:cs="Arial" w:eastAsia="Arial" w:hAnsi="Arial"/>
          <w:rtl w:val="0"/>
        </w:rPr>
        <w:br w:type="textWrapping"/>
        <w:t xml:space="preserve">No hay reporte para 2025. La dependencia está recalculando metas, lo que genera incertidumbre para la planeación de 2026.</w:t>
      </w:r>
    </w:p>
    <w:p w:rsidR="00000000" w:rsidDel="00000000" w:rsidP="00000000" w:rsidRDefault="00000000" w:rsidRPr="00000000" w14:paraId="0000001F">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del Recurso Hídrico</w:t>
      </w:r>
    </w:p>
    <w:p w:rsidR="00000000" w:rsidDel="00000000" w:rsidP="00000000" w:rsidRDefault="00000000" w:rsidRPr="00000000" w14:paraId="00000021">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Reducir 60% de carga contaminante a ríos principales</w:t>
      </w:r>
      <w:r w:rsidDel="00000000" w:rsidR="00000000" w:rsidRPr="00000000">
        <w:rPr>
          <w:rFonts w:ascii="Arial" w:cs="Arial" w:eastAsia="Arial" w:hAnsi="Arial"/>
          <w:rtl w:val="0"/>
        </w:rPr>
        <w:br w:type="textWrapping"/>
        <w:t xml:space="preserve">No hay reporte sobre el seguimiento al plan de saneamiento y manejo de vertimientos (PSMV) y no se ha entregado información sobre el indicador de trámites resueltos. La ausencia de información afecta la toma de decisiones.</w:t>
      </w:r>
    </w:p>
    <w:p w:rsidR="00000000" w:rsidDel="00000000" w:rsidP="00000000" w:rsidRDefault="00000000" w:rsidRPr="00000000" w14:paraId="00000022">
      <w:pPr>
        <w:spacing w:after="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Porcentaje de trámites de evaluación resueltos de fondo y notificados o informados (2025-2027)</w:t>
      </w:r>
    </w:p>
    <w:p w:rsidR="00000000" w:rsidDel="00000000" w:rsidP="00000000" w:rsidRDefault="00000000" w:rsidRPr="00000000" w14:paraId="00000023">
      <w:pPr>
        <w:spacing w:after="0" w:before="280" w:line="240" w:lineRule="auto"/>
        <w:jc w:val="both"/>
        <w:rPr>
          <w:rFonts w:ascii="Arial" w:cs="Arial" w:eastAsia="Arial" w:hAnsi="Arial"/>
          <w:b w:val="1"/>
          <w:bCs w:val="1"/>
        </w:rPr>
      </w:pPr>
      <w:r w:rsidDel="00000000" w:rsidR="00000000" w:rsidRPr="00000000">
        <w:rPr>
          <w:rFonts w:ascii="Arial" w:cs="Arial" w:eastAsia="Arial" w:hAnsi="Arial"/>
          <w:rtl w:val="0"/>
        </w:rPr>
        <w:t xml:space="preserve">Este indicador presenta un avance del 0% frente al 100% programado de forma constante. La dependencia informa que previo al reporte de avance se debe terminar el trámite de notificación. En tal sentido, no se cuenta con información del indicador.</w:t>
      </w:r>
      <w:r w:rsidDel="00000000" w:rsidR="00000000" w:rsidRPr="00000000">
        <w:rPr>
          <w:rtl w:val="0"/>
        </w:rPr>
      </w:r>
    </w:p>
    <w:p w:rsidR="00000000" w:rsidDel="00000000" w:rsidP="00000000" w:rsidRDefault="00000000" w:rsidRPr="00000000" w14:paraId="00000024">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2. Metas con avance parcial (con riesgos o dependencias) mayor al 50% y menor al 80%</w:t>
      </w:r>
    </w:p>
    <w:p w:rsidR="00000000" w:rsidDel="00000000" w:rsidP="00000000" w:rsidRDefault="00000000" w:rsidRPr="00000000" w14:paraId="00000026">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Dirección de Gestión Ambiental</w:t>
      </w:r>
    </w:p>
    <w:p w:rsidR="00000000" w:rsidDel="00000000" w:rsidP="00000000" w:rsidRDefault="00000000" w:rsidRPr="00000000" w14:paraId="00000027">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350 hectáreas habilitadas mediante Transferencia de Derechos de Construcción</w:t>
      </w:r>
      <w:r w:rsidDel="00000000" w:rsidR="00000000" w:rsidRPr="00000000">
        <w:rPr>
          <w:rFonts w:ascii="Arial" w:cs="Arial" w:eastAsia="Arial" w:hAnsi="Arial"/>
          <w:rtl w:val="0"/>
        </w:rPr>
        <w:br w:type="textWrapping"/>
        <w:t xml:space="preserve">La meta programada para 2025 (85 hectáreas) fue superada (91,6 hectáreas). Sin embargo, la ejecución futura depende de la adopción de la resolución del mecanismo y de la voluntad de los propietarios, lo cual constituye un riesgo operativo para 2026.</w:t>
      </w:r>
    </w:p>
    <w:p w:rsidR="00000000" w:rsidDel="00000000" w:rsidP="00000000" w:rsidRDefault="00000000" w:rsidRPr="00000000" w14:paraId="00000028">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 Biodiversidad</w:t>
      </w:r>
    </w:p>
    <w:p w:rsidR="00000000" w:rsidDel="00000000" w:rsidP="00000000" w:rsidRDefault="00000000" w:rsidRPr="00000000" w14:paraId="0000002A">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6500 hectáreas con instrumentos de conservación</w:t>
      </w:r>
      <w:r w:rsidDel="00000000" w:rsidR="00000000" w:rsidRPr="00000000">
        <w:rPr>
          <w:rFonts w:ascii="Arial" w:cs="Arial" w:eastAsia="Arial" w:hAnsi="Arial"/>
          <w:rtl w:val="0"/>
        </w:rPr>
        <w:br w:type="textWrapping"/>
        <w:t xml:space="preserve">Se acumulan 2.999 hectáreas entre 2024 y 2025 por medio de PSA al mes de septiembre del 2025. No se cuenta con reporte de octubre.</w:t>
      </w:r>
    </w:p>
    <w:p w:rsidR="00000000" w:rsidDel="00000000" w:rsidP="00000000" w:rsidRDefault="00000000" w:rsidRPr="00000000" w14:paraId="0000002B">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 Flora y Fauna Silvestre</w:t>
      </w:r>
    </w:p>
    <w:p w:rsidR="00000000" w:rsidDel="00000000" w:rsidP="00000000" w:rsidRDefault="00000000" w:rsidRPr="00000000" w14:paraId="0000002D">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Tasa de liberación/reubicación de animales (65%)</w:t>
      </w:r>
      <w:r w:rsidDel="00000000" w:rsidR="00000000" w:rsidRPr="00000000">
        <w:rPr>
          <w:rFonts w:ascii="Arial" w:cs="Arial" w:eastAsia="Arial" w:hAnsi="Arial"/>
          <w:rtl w:val="0"/>
        </w:rPr>
        <w:br w:type="textWrapping"/>
        <w:t xml:space="preserve">El promedio de cumplimiento es de 52,3%. Los tiempos prolongados en procesos de reubicación (hasta 7 meses) afectan el cumplimiento. Se requieren fortalecer los mecanismos interinstitucionales y reducir los tiempos logísticos.</w:t>
      </w:r>
    </w:p>
    <w:p w:rsidR="00000000" w:rsidDel="00000000" w:rsidP="00000000" w:rsidRDefault="00000000" w:rsidRPr="00000000" w14:paraId="0000002E">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F">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del Recurso Suelo</w:t>
      </w:r>
    </w:p>
    <w:p w:rsidR="00000000" w:rsidDel="00000000" w:rsidP="00000000" w:rsidRDefault="00000000" w:rsidRPr="00000000" w14:paraId="00000030">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Recuperación de áreas degradadas por minería (134,98 hectáreas)</w:t>
      </w:r>
      <w:r w:rsidDel="00000000" w:rsidR="00000000" w:rsidRPr="00000000">
        <w:rPr>
          <w:rFonts w:ascii="Arial" w:cs="Arial" w:eastAsia="Arial" w:hAnsi="Arial"/>
          <w:rtl w:val="0"/>
        </w:rPr>
        <w:br w:type="textWrapping"/>
        <w:t xml:space="preserve">Se informan avances en 19,3 hectáreas. Sin embargo, la dependencia advierte que no puede reportar un valor de avance definitivo de la meta sin el cierre del instrumento ambiental, lo que modifica la periodicidad del reporte según lo programado. </w:t>
      </w:r>
    </w:p>
    <w:p w:rsidR="00000000" w:rsidDel="00000000" w:rsidP="00000000" w:rsidRDefault="00000000" w:rsidRPr="00000000" w14:paraId="00000031">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3. Metas en ejecución normal o satisfactoria</w:t>
      </w:r>
    </w:p>
    <w:p w:rsidR="00000000" w:rsidDel="00000000" w:rsidP="00000000" w:rsidRDefault="00000000" w:rsidRPr="00000000" w14:paraId="00000033">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Dirección de Áreas Protegidas / Dirección de Control Ambiental</w:t>
      </w:r>
    </w:p>
    <w:p w:rsidR="00000000" w:rsidDel="00000000" w:rsidP="00000000" w:rsidRDefault="00000000" w:rsidRPr="00000000" w14:paraId="00000034">
      <w:pPr>
        <w:spacing w:after="0" w:before="280" w:line="240" w:lineRule="auto"/>
        <w:jc w:val="both"/>
        <w:rPr>
          <w:rFonts w:ascii="Arial" w:cs="Arial" w:eastAsia="Arial" w:hAnsi="Arial"/>
        </w:rPr>
      </w:pPr>
      <w:r w:rsidDel="00000000" w:rsidR="00000000" w:rsidRPr="00000000">
        <w:rPr>
          <w:rFonts w:ascii="Arial" w:cs="Arial" w:eastAsia="Arial" w:hAnsi="Arial"/>
          <w:rtl w:val="0"/>
        </w:rPr>
        <w:t xml:space="preserve">Metas programadas para iniciar en 2026: sin alertas.</w:t>
      </w:r>
    </w:p>
    <w:p w:rsidR="00000000" w:rsidDel="00000000" w:rsidP="00000000" w:rsidRDefault="00000000" w:rsidRPr="00000000" w14:paraId="00000035">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6">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 Ecourbanismo y Gestión Ambiental Empresarial</w:t>
      </w:r>
    </w:p>
    <w:p w:rsidR="00000000" w:rsidDel="00000000" w:rsidP="00000000" w:rsidRDefault="00000000" w:rsidRPr="00000000" w14:paraId="00000037">
      <w:pPr>
        <w:spacing w:after="28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525 proyectos con criterios sostenibles de uso de agua</w:t>
      </w:r>
      <w:r w:rsidDel="00000000" w:rsidR="00000000" w:rsidRPr="00000000">
        <w:rPr>
          <w:rFonts w:ascii="Arial" w:cs="Arial" w:eastAsia="Arial" w:hAnsi="Arial"/>
          <w:rtl w:val="0"/>
        </w:rPr>
        <w:br w:type="textWrapping"/>
        <w:t xml:space="preserve">Meta anual cumplida (100%). Faltan los soportes en el repositorio, pero el avance se mantiene en línea con la programación.</w:t>
      </w:r>
    </w:p>
    <w:p w:rsidR="00000000" w:rsidDel="00000000" w:rsidP="00000000" w:rsidRDefault="00000000" w:rsidRPr="00000000" w14:paraId="00000038">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262.565 metros cuadrados (m²) renaturalizados</w:t>
      </w:r>
      <w:r w:rsidDel="00000000" w:rsidR="00000000" w:rsidRPr="00000000">
        <w:rPr>
          <w:rFonts w:ascii="Arial" w:cs="Arial" w:eastAsia="Arial" w:hAnsi="Arial"/>
          <w:rtl w:val="0"/>
        </w:rPr>
        <w:br w:type="textWrapping"/>
        <w:t xml:space="preserve">Existe un sobrecumplimiento del 113% para 2025 con 32.589m² de 15.242m² programados. Importante revisar si la meta debe ajustarse o si el método de medición requiere actualización.</w:t>
      </w:r>
    </w:p>
    <w:p w:rsidR="00000000" w:rsidDel="00000000" w:rsidP="00000000" w:rsidRDefault="00000000" w:rsidRPr="00000000" w14:paraId="00000039">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A">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 Flora y Fauna Silvestre</w:t>
      </w:r>
    </w:p>
    <w:p w:rsidR="00000000" w:rsidDel="00000000" w:rsidP="00000000" w:rsidRDefault="00000000" w:rsidRPr="00000000" w14:paraId="0000003B">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Evitar tráfico ilegal de 3.394 individuos</w:t>
      </w:r>
      <w:r w:rsidDel="00000000" w:rsidR="00000000" w:rsidRPr="00000000">
        <w:rPr>
          <w:rFonts w:ascii="Arial" w:cs="Arial" w:eastAsia="Arial" w:hAnsi="Arial"/>
          <w:rtl w:val="0"/>
        </w:rPr>
        <w:br w:type="textWrapping"/>
        <w:t xml:space="preserve">Avance del 97%, sin alertas relevantes.</w:t>
      </w:r>
    </w:p>
    <w:p w:rsidR="00000000" w:rsidDel="00000000" w:rsidP="00000000" w:rsidRDefault="00000000" w:rsidRPr="00000000" w14:paraId="0000003C">
      <w:pPr>
        <w:spacing w:after="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del Recurso Suelo</w:t>
      </w:r>
    </w:p>
    <w:p w:rsidR="00000000" w:rsidDel="00000000" w:rsidP="00000000" w:rsidRDefault="00000000" w:rsidRPr="00000000" w14:paraId="0000003E">
      <w:pPr>
        <w:spacing w:after="28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Aprovechamiento y disposición adecuada de llantas y residuos especiales</w:t>
      </w:r>
      <w:r w:rsidDel="00000000" w:rsidR="00000000" w:rsidRPr="00000000">
        <w:rPr>
          <w:rFonts w:ascii="Arial" w:cs="Arial" w:eastAsia="Arial" w:hAnsi="Arial"/>
          <w:rtl w:val="0"/>
        </w:rPr>
        <w:br w:type="textWrapping"/>
        <w:t xml:space="preserve">Las metas de los indicadores involucrados presentan avances entre 73% y 95% sin riesgos reportados.</w:t>
      </w:r>
    </w:p>
    <w:p w:rsidR="00000000" w:rsidDel="00000000" w:rsidP="00000000" w:rsidRDefault="00000000" w:rsidRPr="00000000" w14:paraId="0000003F">
      <w:pPr>
        <w:spacing w:after="0" w:before="280" w:line="240" w:lineRule="auto"/>
        <w:jc w:val="both"/>
        <w:rPr>
          <w:rFonts w:ascii="Arial" w:cs="Arial" w:eastAsia="Arial" w:hAnsi="Arial"/>
        </w:rPr>
      </w:pPr>
      <w:r w:rsidDel="00000000" w:rsidR="00000000" w:rsidRPr="00000000">
        <w:rPr>
          <w:rFonts w:ascii="Arial" w:cs="Arial" w:eastAsia="Arial" w:hAnsi="Arial"/>
          <w:b w:val="1"/>
          <w:bCs w:val="1"/>
          <w:rtl w:val="0"/>
        </w:rPr>
        <w:t xml:space="preserve">Predios con suelos potencialmente contaminados en riesgo aceptable</w:t>
      </w:r>
      <w:r w:rsidDel="00000000" w:rsidR="00000000" w:rsidRPr="00000000">
        <w:rPr>
          <w:rFonts w:ascii="Arial" w:cs="Arial" w:eastAsia="Arial" w:hAnsi="Arial"/>
          <w:rtl w:val="0"/>
        </w:rPr>
        <w:br w:type="textWrapping"/>
        <w:t xml:space="preserve">Cumplimiento del 103%, sin alertas.</w:t>
      </w:r>
    </w:p>
    <w:p w:rsidR="00000000" w:rsidDel="00000000" w:rsidP="00000000" w:rsidRDefault="00000000" w:rsidRPr="00000000" w14:paraId="00000040">
      <w:pPr>
        <w:spacing w:after="0" w:line="240" w:lineRule="auto"/>
        <w:jc w:val="both"/>
        <w:rPr>
          <w:rFonts w:ascii="Arial" w:cs="Arial" w:eastAsia="Arial" w:hAnsi="Arial"/>
          <w:b w:val="1"/>
          <w:bCs w:val="1"/>
        </w:rPr>
      </w:pPr>
      <w:r w:rsidDel="00000000" w:rsidR="00000000" w:rsidRPr="00000000">
        <w:pict>
          <v:rect style="width:0.0pt;height:1.5pt" o:hr="t" o:hrstd="t" o:hralign="center" fillcolor="#A0A0A0" stroked="f"/>
        </w:pict>
      </w:r>
      <w:r w:rsidDel="00000000" w:rsidR="00000000" w:rsidRPr="00000000">
        <w:rPr>
          <w:rFonts w:ascii="Arial" w:cs="Arial" w:eastAsia="Arial" w:hAnsi="Arial"/>
          <w:b w:val="1"/>
          <w:bCs w:val="1"/>
          <w:rtl w:val="0"/>
        </w:rPr>
        <w:t xml:space="preserve"> </w:t>
      </w:r>
    </w:p>
    <w:p w:rsidR="00000000" w:rsidDel="00000000" w:rsidP="00000000" w:rsidRDefault="00000000" w:rsidRPr="00000000" w14:paraId="00000041">
      <w:pPr>
        <w:spacing w:after="280" w:before="28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4. Recomendaciones generales</w:t>
      </w:r>
    </w:p>
    <w:p w:rsidR="00000000" w:rsidDel="00000000" w:rsidP="00000000" w:rsidRDefault="00000000" w:rsidRPr="00000000" w14:paraId="00000042">
      <w:pPr>
        <w:numPr>
          <w:ilvl w:val="0"/>
          <w:numId w:val="1"/>
        </w:numPr>
        <w:spacing w:after="0" w:before="280" w:line="240" w:lineRule="auto"/>
        <w:ind w:left="720" w:hanging="360"/>
        <w:jc w:val="both"/>
        <w:rPr>
          <w:rFonts w:ascii="Arial" w:cs="Arial" w:eastAsia="Arial" w:hAnsi="Arial"/>
        </w:rPr>
      </w:pPr>
      <w:r w:rsidDel="00000000" w:rsidR="00000000" w:rsidRPr="00000000">
        <w:rPr>
          <w:rFonts w:ascii="Arial" w:cs="Arial" w:eastAsia="Arial" w:hAnsi="Arial"/>
          <w:b w:val="1"/>
          <w:bCs w:val="1"/>
          <w:rtl w:val="0"/>
        </w:rPr>
        <w:t xml:space="preserve">Ajustar formalmente las metas rezagadas con soporte técnico</w:t>
      </w:r>
      <w:r w:rsidDel="00000000" w:rsidR="00000000" w:rsidRPr="00000000">
        <w:rPr>
          <w:rFonts w:ascii="Arial" w:cs="Arial" w:eastAsia="Arial" w:hAnsi="Arial"/>
          <w:rtl w:val="0"/>
        </w:rPr>
        <w:t xml:space="preserve">, especialmente en DPS, SCAAV, Silvicultura y Recurso Hídrico.</w:t>
      </w:r>
    </w:p>
    <w:p w:rsidR="00000000" w:rsidDel="00000000" w:rsidP="00000000" w:rsidRDefault="00000000" w:rsidRPr="00000000" w14:paraId="00000043">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b w:val="1"/>
          <w:bCs w:val="1"/>
          <w:rtl w:val="0"/>
        </w:rPr>
        <w:t xml:space="preserve">Reforzar la entrega de información y reportes mensuales</w:t>
      </w:r>
      <w:r w:rsidDel="00000000" w:rsidR="00000000" w:rsidRPr="00000000">
        <w:rPr>
          <w:rFonts w:ascii="Arial" w:cs="Arial" w:eastAsia="Arial" w:hAnsi="Arial"/>
          <w:rtl w:val="0"/>
        </w:rPr>
        <w:t xml:space="preserve">, priorizando dependencias con incumplimiento recurrente y sus soportes correspondientes.</w:t>
      </w:r>
    </w:p>
    <w:p w:rsidR="00000000" w:rsidDel="00000000" w:rsidP="00000000" w:rsidRDefault="00000000" w:rsidRPr="00000000" w14:paraId="00000044">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b w:val="1"/>
          <w:bCs w:val="1"/>
          <w:rtl w:val="0"/>
        </w:rPr>
        <w:t xml:space="preserve">Revisar capacidades operativas y cargas laborales 2026</w:t>
      </w:r>
      <w:r w:rsidDel="00000000" w:rsidR="00000000" w:rsidRPr="00000000">
        <w:rPr>
          <w:rFonts w:ascii="Arial" w:cs="Arial" w:eastAsia="Arial" w:hAnsi="Arial"/>
          <w:rtl w:val="0"/>
        </w:rPr>
        <w:t xml:space="preserve">, identificando brechas en talento humano, contratación y capacidad instalada.</w:t>
      </w:r>
    </w:p>
    <w:p w:rsidR="00000000" w:rsidDel="00000000" w:rsidP="00000000" w:rsidRDefault="00000000" w:rsidRPr="00000000" w14:paraId="00000045">
      <w:pPr>
        <w:numPr>
          <w:ilvl w:val="0"/>
          <w:numId w:val="1"/>
        </w:numPr>
        <w:spacing w:after="0" w:line="240" w:lineRule="auto"/>
        <w:ind w:left="720" w:hanging="360"/>
        <w:jc w:val="both"/>
        <w:rPr>
          <w:rFonts w:ascii="Arial" w:cs="Arial" w:eastAsia="Arial" w:hAnsi="Arial"/>
        </w:rPr>
      </w:pPr>
      <w:r w:rsidDel="00000000" w:rsidR="00000000" w:rsidRPr="00000000">
        <w:rPr>
          <w:rFonts w:ascii="Arial" w:cs="Arial" w:eastAsia="Arial" w:hAnsi="Arial"/>
          <w:b w:val="1"/>
          <w:bCs w:val="1"/>
          <w:rtl w:val="0"/>
        </w:rPr>
        <w:t xml:space="preserve">Actualizar metas con sobrecumplimiento, </w:t>
      </w:r>
      <w:r w:rsidDel="00000000" w:rsidR="00000000" w:rsidRPr="00000000">
        <w:rPr>
          <w:rFonts w:ascii="Arial" w:cs="Arial" w:eastAsia="Arial" w:hAnsi="Arial"/>
          <w:rtl w:val="0"/>
        </w:rPr>
        <w:t xml:space="preserve">como es el</w:t>
      </w:r>
      <w:r w:rsidDel="00000000" w:rsidR="00000000" w:rsidRPr="00000000">
        <w:rPr>
          <w:rFonts w:ascii="Arial" w:cs="Arial" w:eastAsia="Arial" w:hAnsi="Arial"/>
          <w:b w:val="1"/>
          <w:bCs w:val="1"/>
          <w:rtl w:val="0"/>
        </w:rPr>
        <w:t xml:space="preserve"> </w:t>
      </w:r>
      <w:r w:rsidDel="00000000" w:rsidR="00000000" w:rsidRPr="00000000">
        <w:rPr>
          <w:rFonts w:ascii="Arial" w:cs="Arial" w:eastAsia="Arial" w:hAnsi="Arial"/>
          <w:rtl w:val="0"/>
        </w:rPr>
        <w:t xml:space="preserve">caso de renaturalización, para garantizar coherencia del reporte estado.</w:t>
      </w:r>
    </w:p>
    <w:p w:rsidR="00000000" w:rsidDel="00000000" w:rsidP="00000000" w:rsidRDefault="00000000" w:rsidRPr="00000000" w14:paraId="00000046">
      <w:pPr>
        <w:numPr>
          <w:ilvl w:val="0"/>
          <w:numId w:val="1"/>
        </w:numPr>
        <w:spacing w:after="280" w:line="240" w:lineRule="auto"/>
        <w:ind w:left="720" w:hanging="360"/>
        <w:jc w:val="both"/>
        <w:rPr>
          <w:rFonts w:ascii="Arial" w:cs="Arial" w:eastAsia="Arial" w:hAnsi="Arial"/>
        </w:rPr>
      </w:pPr>
      <w:r w:rsidDel="00000000" w:rsidR="00000000" w:rsidRPr="00000000">
        <w:rPr>
          <w:rFonts w:ascii="Arial" w:cs="Arial" w:eastAsia="Arial" w:hAnsi="Arial"/>
          <w:b w:val="1"/>
          <w:bCs w:val="1"/>
          <w:rtl w:val="0"/>
        </w:rPr>
        <w:t xml:space="preserve">Fortalecer articulación interinstitucional y dependencia de información de terceros</w:t>
      </w:r>
      <w:r w:rsidDel="00000000" w:rsidR="00000000" w:rsidRPr="00000000">
        <w:rPr>
          <w:rFonts w:ascii="Arial" w:cs="Arial" w:eastAsia="Arial" w:hAnsi="Arial"/>
          <w:rtl w:val="0"/>
        </w:rPr>
        <w:t xml:space="preserve">, especialmente en licenciamiento, ZUMA, compensaciones, entre otros.</w:t>
      </w:r>
    </w:p>
    <w:p w:rsidR="00000000" w:rsidDel="00000000" w:rsidP="00000000" w:rsidRDefault="00000000" w:rsidRPr="00000000" w14:paraId="00000047">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Los detalles cualitativos y cuantitativos se pueden consultar en el tablero de PEI en el siguiente enlace:</w:t>
      </w:r>
    </w:p>
    <w:p w:rsidR="00000000" w:rsidDel="00000000" w:rsidP="00000000" w:rsidRDefault="00000000" w:rsidRPr="00000000" w14:paraId="00000048">
      <w:pPr>
        <w:spacing w:after="280" w:before="280" w:line="240" w:lineRule="auto"/>
        <w:jc w:val="both"/>
        <w:rPr>
          <w:rFonts w:ascii="Arial" w:cs="Arial" w:eastAsia="Arial" w:hAnsi="Arial"/>
          <w:b w:val="1"/>
          <w:bCs w:val="1"/>
        </w:rPr>
      </w:pPr>
      <w:hyperlink r:id="rId7">
        <w:r w:rsidDel="00000000" w:rsidR="00000000" w:rsidRPr="00000000">
          <w:rPr>
            <w:rFonts w:ascii="Arial" w:cs="Arial" w:eastAsia="Arial" w:hAnsi="Arial"/>
            <w:b w:val="1"/>
            <w:bCs w:val="1"/>
            <w:color w:val="1155cc"/>
            <w:highlight w:val="white"/>
            <w:u w:val="single"/>
            <w:rtl w:val="0"/>
          </w:rPr>
          <w:t xml:space="preserve">https://lookerstudio.google.com/reporting/85557fce-513a-4e3a-86de-689057a7878c</w:t>
        </w:r>
      </w:hyperlink>
      <w:r w:rsidDel="00000000" w:rsidR="00000000" w:rsidRPr="00000000">
        <w:rPr>
          <w:rtl w:val="0"/>
        </w:rPr>
      </w:r>
    </w:p>
    <w:p w:rsidR="00000000" w:rsidDel="00000000" w:rsidP="00000000" w:rsidRDefault="00000000" w:rsidRPr="00000000" w14:paraId="00000049">
      <w:pPr>
        <w:spacing w:after="240" w:before="240" w:line="240" w:lineRule="auto"/>
        <w:jc w:val="both"/>
        <w:rPr>
          <w:rFonts w:ascii="Arial" w:cs="Arial" w:eastAsia="Arial" w:hAnsi="Arial"/>
          <w:b w:val="1"/>
          <w:bCs w:val="1"/>
          <w:color w:val="196b24"/>
        </w:rPr>
      </w:pPr>
      <w:r w:rsidDel="00000000" w:rsidR="00000000" w:rsidRPr="00000000">
        <w:rPr>
          <w:rFonts w:ascii="Arial" w:cs="Arial" w:eastAsia="Arial" w:hAnsi="Arial"/>
          <w:b w:val="1"/>
          <w:bCs w:val="1"/>
          <w:color w:val="196b24"/>
          <w:rtl w:val="0"/>
        </w:rPr>
        <w:t xml:space="preserve">INFORME EJECUTIVO – METAS ESTRATÉGICAS PEI (Líneas 2, 3 y 4)</w:t>
      </w:r>
    </w:p>
    <w:p w:rsidR="00000000" w:rsidDel="00000000" w:rsidP="00000000" w:rsidRDefault="00000000" w:rsidRPr="00000000" w14:paraId="0000004A">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Corte: octubre de 2025</w:t>
      </w:r>
    </w:p>
    <w:p w:rsidR="00000000" w:rsidDel="00000000" w:rsidP="00000000" w:rsidRDefault="00000000" w:rsidRPr="00000000" w14:paraId="0000004B">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Estructura: Análisis por línea estratégica y dependencias involucradas.</w:t>
      </w:r>
    </w:p>
    <w:p w:rsidR="00000000" w:rsidDel="00000000" w:rsidP="00000000" w:rsidRDefault="00000000" w:rsidRPr="00000000" w14:paraId="0000004C">
      <w:pPr>
        <w:spacing w:after="240" w:before="240" w:line="240" w:lineRule="auto"/>
        <w:jc w:val="both"/>
        <w:rPr>
          <w:rFonts w:ascii="Arial" w:cs="Arial" w:eastAsia="Arial" w:hAnsi="Arial"/>
          <w:b w:val="1"/>
          <w:bCs w:val="1"/>
          <w:color w:val="196b24"/>
        </w:rPr>
      </w:pPr>
      <w:r w:rsidDel="00000000" w:rsidR="00000000" w:rsidRPr="00000000">
        <w:rPr>
          <w:rFonts w:ascii="Arial" w:cs="Arial" w:eastAsia="Arial" w:hAnsi="Arial"/>
          <w:b w:val="1"/>
          <w:bCs w:val="1"/>
          <w:color w:val="196b24"/>
          <w:rtl w:val="0"/>
        </w:rPr>
        <w:t xml:space="preserve">LÍNEA 2 Generar información ambiental de calidad, disponible y oportuna para la ciudadanía y para la toma de decisiones.</w:t>
      </w:r>
    </w:p>
    <w:p w:rsidR="00000000" w:rsidDel="00000000" w:rsidP="00000000" w:rsidRDefault="00000000" w:rsidRPr="00000000" w14:paraId="0000004D">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Oficina Asesora de Planeación</w:t>
      </w:r>
    </w:p>
    <w:p w:rsidR="00000000" w:rsidDel="00000000" w:rsidP="00000000" w:rsidRDefault="00000000" w:rsidRPr="00000000" w14:paraId="0000004E">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Implementación de la Infraestructura de información geográfica de Ordenamiento Ambiental</w:t>
      </w:r>
    </w:p>
    <w:p w:rsidR="00000000" w:rsidDel="00000000" w:rsidP="00000000" w:rsidRDefault="00000000" w:rsidRPr="00000000" w14:paraId="0000004F">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Avance del 22% frente al 25% programado. La reestructuración institucional trasladó la responsabilidad a la Oficina de Tecnologías, deteniendo la carga del procedimiento y requiriendo un rediseño. Se realizaron actividades técnicas (mantenimiento, módulos, paneles), pero el procedimiento no ha sido adoptado formalmente.</w:t>
      </w:r>
    </w:p>
    <w:p w:rsidR="00000000" w:rsidDel="00000000" w:rsidP="00000000" w:rsidRDefault="00000000" w:rsidRPr="00000000" w14:paraId="00000050">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Alertas: Riesgo de pérdida de continuidad del modelo geográfico. Es necesario ajustar el procedimiento a la nueva estructura de la SDA.</w:t>
      </w:r>
    </w:p>
    <w:p w:rsidR="00000000" w:rsidDel="00000000" w:rsidP="00000000" w:rsidRDefault="00000000" w:rsidRPr="00000000" w14:paraId="00000051">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Subdirección de Calidad del Aire, Auditiva y Visual (SCAAV)</w:t>
      </w:r>
    </w:p>
    <w:p w:rsidR="00000000" w:rsidDel="00000000" w:rsidP="00000000" w:rsidRDefault="00000000" w:rsidRPr="00000000" w14:paraId="00000052">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Control de ruido y eventos masivos</w:t>
      </w:r>
    </w:p>
    <w:p w:rsidR="00000000" w:rsidDel="00000000" w:rsidP="00000000" w:rsidRDefault="00000000" w:rsidRPr="00000000" w14:paraId="00000053">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Metas con inicio en 2026. Sin alertas.</w:t>
      </w:r>
    </w:p>
    <w:p w:rsidR="00000000" w:rsidDel="00000000" w:rsidP="00000000" w:rsidRDefault="00000000" w:rsidRPr="00000000" w14:paraId="00000054">
      <w:pPr>
        <w:spacing w:after="280" w:before="280" w:line="240" w:lineRule="auto"/>
        <w:jc w:val="center"/>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spacing w:after="240" w:before="240" w:line="240" w:lineRule="auto"/>
        <w:jc w:val="both"/>
        <w:rPr>
          <w:rFonts w:ascii="Arial" w:cs="Arial" w:eastAsia="Arial" w:hAnsi="Arial"/>
          <w:b w:val="1"/>
          <w:bCs w:val="1"/>
          <w:color w:val="196b24"/>
        </w:rPr>
      </w:pPr>
      <w:r w:rsidDel="00000000" w:rsidR="00000000" w:rsidRPr="00000000">
        <w:rPr>
          <w:rFonts w:ascii="Arial" w:cs="Arial" w:eastAsia="Arial" w:hAnsi="Arial"/>
          <w:b w:val="1"/>
          <w:bCs w:val="1"/>
          <w:color w:val="196b24"/>
          <w:rtl w:val="0"/>
        </w:rPr>
        <w:t xml:space="preserve">LÍNEA 3. Diseñar e implementar estrategias para aumentar el posicionamiento, la cultura y la corresponsabilidad de la ciudadanía en temas ambientales.</w:t>
      </w:r>
    </w:p>
    <w:p w:rsidR="00000000" w:rsidDel="00000000" w:rsidP="00000000" w:rsidRDefault="00000000" w:rsidRPr="00000000" w14:paraId="00000056">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Oficina de Participación, Educación y Localidades (OPEL)</w:t>
      </w:r>
    </w:p>
    <w:p w:rsidR="00000000" w:rsidDel="00000000" w:rsidP="00000000" w:rsidRDefault="00000000" w:rsidRPr="00000000" w14:paraId="00000057">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Situaciones Ambientales Conflictivas resueltas (SAC)</w:t>
      </w:r>
    </w:p>
    <w:p w:rsidR="00000000" w:rsidDel="00000000" w:rsidP="00000000" w:rsidRDefault="00000000" w:rsidRPr="00000000" w14:paraId="00000058">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Para el primer semestre de 2025 se reporta un cumplimiento del 94,41% en la resolución de Situaciones Ambientales Conflictivas (SAC) superando el 90% que se fijó como meta. Se atendieron 405 de las 429 SAC. El 5% de los casos restantes requieren articulación con alcaldías locales y otras entidades, lo que implica tiempos de atención compartidos.</w:t>
      </w:r>
    </w:p>
    <w:p w:rsidR="00000000" w:rsidDel="00000000" w:rsidP="00000000" w:rsidRDefault="00000000" w:rsidRPr="00000000" w14:paraId="00000059">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Las localidades con mayor número de intervenciones fueron Chapinero, Usme, Kennedy y Rafael Uribe Uribe.</w:t>
      </w:r>
    </w:p>
    <w:p w:rsidR="00000000" w:rsidDel="00000000" w:rsidP="00000000" w:rsidRDefault="00000000" w:rsidRPr="00000000" w14:paraId="0000005A">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Capacitación en Acción Climática</w:t>
      </w:r>
    </w:p>
    <w:p w:rsidR="00000000" w:rsidDel="00000000" w:rsidP="00000000" w:rsidRDefault="00000000" w:rsidRPr="00000000" w14:paraId="0000005B">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Durante el tercer trimestre de 2025 se capacitaron 14.548 ciudadanos en acción climática, alcanzando un 80,87% de la meta anual. Con un acumulado de 28.423 personas formadas a septiembre, el indicador supera lo proyectado (118,28%), evidenciando un creciente interés ciudadano en los temas de adaptación al cambio climático.</w:t>
      </w:r>
    </w:p>
    <w:p w:rsidR="00000000" w:rsidDel="00000000" w:rsidP="00000000" w:rsidRDefault="00000000" w:rsidRPr="00000000" w14:paraId="0000005C">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Modelo de Servicio al Ciudadano</w:t>
      </w:r>
    </w:p>
    <w:p w:rsidR="00000000" w:rsidDel="00000000" w:rsidP="00000000" w:rsidRDefault="00000000" w:rsidRPr="00000000" w14:paraId="0000005D">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Se reporta avance en la revisión y retroalimentación del Modelo de Servicio de Atención al Ciudadano y la consolidación de la estructura del Modelo Integral de Relacionamiento con la Ciudadanía (MIRC), definiendo objetivos, alcance, lineamientos estratégicos y la arquitectura general del documento.</w:t>
      </w:r>
    </w:p>
    <w:p w:rsidR="00000000" w:rsidDel="00000000" w:rsidP="00000000" w:rsidRDefault="00000000" w:rsidRPr="00000000" w14:paraId="0000005E">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Participación en Aulas Ambientales</w:t>
      </w:r>
    </w:p>
    <w:p w:rsidR="00000000" w:rsidDel="00000000" w:rsidP="00000000" w:rsidRDefault="00000000" w:rsidRPr="00000000" w14:paraId="0000005F">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Avance del 89,2%, las actividades de educación ambiental han vinculado 168.618 personas. La estrategia de Aulas Ambientales desarrolló acciones virtuales y presenciales sobre biodiversidad, cambio climático, consumo sostenible, gestión del riesgo y protección del agua.</w:t>
      </w:r>
    </w:p>
    <w:p w:rsidR="00000000" w:rsidDel="00000000" w:rsidP="00000000" w:rsidRDefault="00000000" w:rsidRPr="00000000" w14:paraId="00000060">
      <w:pPr>
        <w:spacing w:after="280" w:before="280" w:line="240" w:lineRule="auto"/>
        <w:jc w:val="center"/>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spacing w:after="240" w:before="240" w:line="240" w:lineRule="auto"/>
        <w:jc w:val="both"/>
        <w:rPr>
          <w:rFonts w:ascii="Arial" w:cs="Arial" w:eastAsia="Arial" w:hAnsi="Arial"/>
          <w:b w:val="1"/>
          <w:bCs w:val="1"/>
          <w:color w:val="196b24"/>
        </w:rPr>
      </w:pPr>
      <w:r w:rsidDel="00000000" w:rsidR="00000000" w:rsidRPr="00000000">
        <w:rPr>
          <w:rFonts w:ascii="Arial" w:cs="Arial" w:eastAsia="Arial" w:hAnsi="Arial"/>
          <w:b w:val="1"/>
          <w:bCs w:val="1"/>
          <w:color w:val="196b24"/>
          <w:rtl w:val="0"/>
        </w:rPr>
        <w:t xml:space="preserve">LÍNEA 4 Modernizar la estructura organizacional, administrativa y tecnológica de la entidad para responder a las necesidades ambientales y territoriales actuales</w:t>
      </w:r>
    </w:p>
    <w:p w:rsidR="00000000" w:rsidDel="00000000" w:rsidP="00000000" w:rsidRDefault="00000000" w:rsidRPr="00000000" w14:paraId="00000062">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Oficina Asesora de Planeación</w:t>
      </w:r>
    </w:p>
    <w:p w:rsidR="00000000" w:rsidDel="00000000" w:rsidP="00000000" w:rsidRDefault="00000000" w:rsidRPr="00000000" w14:paraId="00000063">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Cumplimiento del Plan Integrado (Decreto 612/2018)</w:t>
      </w:r>
    </w:p>
    <w:p w:rsidR="00000000" w:rsidDel="00000000" w:rsidP="00000000" w:rsidRDefault="00000000" w:rsidRPr="00000000" w14:paraId="00000064">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Avance del 70%. Los planes de Capacitación, SST e Incentivos superaron lo programado. El PINAR y los planes de Tecnología presentan retrasos.</w:t>
      </w:r>
    </w:p>
    <w:p w:rsidR="00000000" w:rsidDel="00000000" w:rsidP="00000000" w:rsidRDefault="00000000" w:rsidRPr="00000000" w14:paraId="00000065">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Alertas: Reforzar ejecución en noviembre y diciembre o actualizar soportes, para no afectar el cumplimiento.</w:t>
      </w:r>
    </w:p>
    <w:p w:rsidR="00000000" w:rsidDel="00000000" w:rsidP="00000000" w:rsidRDefault="00000000" w:rsidRPr="00000000" w14:paraId="00000066">
      <w:pPr>
        <w:spacing w:after="280" w:before="280" w:line="240" w:lineRule="auto"/>
        <w:jc w:val="center"/>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Actualización y mantenimiento del SIG</w:t>
      </w:r>
    </w:p>
    <w:p w:rsidR="00000000" w:rsidDel="00000000" w:rsidP="00000000" w:rsidRDefault="00000000" w:rsidRPr="00000000" w14:paraId="00000068">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Medición cuatrimestral, para este periodo se reporta la realización de siete acciones de mantenimiento y actualización del SIG, también, se reporta avance en el seguimiento de riesgos institucionales y actualización de los indicadores de gestión de la SDA.</w:t>
      </w:r>
    </w:p>
    <w:p w:rsidR="00000000" w:rsidDel="00000000" w:rsidP="00000000" w:rsidRDefault="00000000" w:rsidRPr="00000000" w14:paraId="00000069">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Alertas: Es necesario validar el ajuste de los procesos del SIG con la reestructuración de la SDA.</w:t>
      </w:r>
    </w:p>
    <w:p w:rsidR="00000000" w:rsidDel="00000000" w:rsidP="00000000" w:rsidRDefault="00000000" w:rsidRPr="00000000" w14:paraId="0000006A">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Es importante la validación de los resultados del seguimiento a indicadores de gestión para el tercer cuatrimestre del año.</w:t>
      </w:r>
    </w:p>
    <w:p w:rsidR="00000000" w:rsidDel="00000000" w:rsidP="00000000" w:rsidRDefault="00000000" w:rsidRPr="00000000" w14:paraId="0000006B">
      <w:pPr>
        <w:spacing w:after="280" w:before="280" w:line="240" w:lineRule="auto"/>
        <w:jc w:val="center"/>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Plan de Sostenibilidad MIPG</w:t>
      </w:r>
    </w:p>
    <w:p w:rsidR="00000000" w:rsidDel="00000000" w:rsidP="00000000" w:rsidRDefault="00000000" w:rsidRPr="00000000" w14:paraId="0000006D">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Medición cuatrimestral. Para el mes de agosto, del total de cincuenta y dos acciones, nueve se encuentran con cumplimiento del 100%, diez acciones cuentan con un avance superior al 50%, las restantes treinta y tres acciones se encuentran por debajo del 50% de avance efectivo.</w:t>
      </w:r>
    </w:p>
    <w:p w:rsidR="00000000" w:rsidDel="00000000" w:rsidP="00000000" w:rsidRDefault="00000000" w:rsidRPr="00000000" w14:paraId="0000006E">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Alertas: El indicador no refleja gestión real. Debe reformularse con la actualización del mapa de procesos. El cumplimiento general para el segundo cuatrimestre llega al 17,3%.</w:t>
      </w:r>
    </w:p>
    <w:p w:rsidR="00000000" w:rsidDel="00000000" w:rsidP="00000000" w:rsidRDefault="00000000" w:rsidRPr="00000000" w14:paraId="0000006F">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Instrumentos para Seguimiento a Proyectos de Inversión</w:t>
      </w:r>
    </w:p>
    <w:p w:rsidR="00000000" w:rsidDel="00000000" w:rsidP="00000000" w:rsidRDefault="00000000" w:rsidRPr="00000000" w14:paraId="00000070">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Cumplimiento del 100% con actualización de los dos tableros programados de control programados para la vigencia 2025.</w:t>
      </w:r>
    </w:p>
    <w:p w:rsidR="00000000" w:rsidDel="00000000" w:rsidP="00000000" w:rsidRDefault="00000000" w:rsidRPr="00000000" w14:paraId="00000071">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Dirección de Gestión Corporativa</w:t>
      </w:r>
    </w:p>
    <w:p w:rsidR="00000000" w:rsidDel="00000000" w:rsidP="00000000" w:rsidRDefault="00000000" w:rsidRPr="00000000" w14:paraId="00000072">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Ejecución del presupuesto de funcionamiento</w:t>
      </w:r>
    </w:p>
    <w:p w:rsidR="00000000" w:rsidDel="00000000" w:rsidP="00000000" w:rsidRDefault="00000000" w:rsidRPr="00000000" w14:paraId="00000073">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Avance del 69,7% frente al 90% programado. La ejecución mejoró por el avance en contratación, pero aún existe brecha.</w:t>
      </w:r>
    </w:p>
    <w:p w:rsidR="00000000" w:rsidDel="00000000" w:rsidP="00000000" w:rsidRDefault="00000000" w:rsidRPr="00000000" w14:paraId="00000074">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Alertas: Ajustar meta a la realidad contractual anual y definir programación mensual.</w:t>
      </w:r>
    </w:p>
    <w:p w:rsidR="00000000" w:rsidDel="00000000" w:rsidP="00000000" w:rsidRDefault="00000000" w:rsidRPr="00000000" w14:paraId="00000075">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Pagos del presupuesto de funcionamiento</w:t>
      </w:r>
    </w:p>
    <w:p w:rsidR="00000000" w:rsidDel="00000000" w:rsidP="00000000" w:rsidRDefault="00000000" w:rsidRPr="00000000" w14:paraId="00000076">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Para el mes de octubre se reporta un avance del 60,6% en los pagos frente al 90% programado para la vigencia. Este valor se encuentra por debajo del valor esperado para este mes que es un 75%. Se espera que al cierre de la vigencia incrementen los pagos.</w:t>
      </w:r>
    </w:p>
    <w:p w:rsidR="00000000" w:rsidDel="00000000" w:rsidP="00000000" w:rsidRDefault="00000000" w:rsidRPr="00000000" w14:paraId="00000077">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Alertas: Se requiere acelerar pagos durante noviembre y diciembre.</w:t>
      </w:r>
    </w:p>
    <w:p w:rsidR="00000000" w:rsidDel="00000000" w:rsidP="00000000" w:rsidRDefault="00000000" w:rsidRPr="00000000" w14:paraId="00000078">
      <w:pPr>
        <w:spacing w:after="280" w:before="280" w:line="240" w:lineRule="auto"/>
        <w:jc w:val="center"/>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Oficina TIC</w:t>
      </w:r>
    </w:p>
    <w:p w:rsidR="00000000" w:rsidDel="00000000" w:rsidP="00000000" w:rsidRDefault="00000000" w:rsidRPr="00000000" w14:paraId="0000007A">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Modelo de Gobierno de Datos</w:t>
      </w:r>
    </w:p>
    <w:p w:rsidR="00000000" w:rsidDel="00000000" w:rsidP="00000000" w:rsidRDefault="00000000" w:rsidRPr="00000000" w14:paraId="0000007B">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Avance del 24% frente al 30% programado. Se avanzó en documentos maestros, diccionario de datos, arquitectura, tablero centralizado e identificación de fuentes.</w:t>
      </w:r>
    </w:p>
    <w:p w:rsidR="00000000" w:rsidDel="00000000" w:rsidP="00000000" w:rsidRDefault="00000000" w:rsidRPr="00000000" w14:paraId="0000007C">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Alertas: Se evidencian rezagos técnicos. Priorizar entregables para 2026 y fortalecer articulación con dependencias.</w:t>
      </w:r>
    </w:p>
    <w:p w:rsidR="00000000" w:rsidDel="00000000" w:rsidP="00000000" w:rsidRDefault="00000000" w:rsidRPr="00000000" w14:paraId="0000007D">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Migración de soluciones tecnológicas a la nube</w:t>
      </w:r>
    </w:p>
    <w:p w:rsidR="00000000" w:rsidDel="00000000" w:rsidP="00000000" w:rsidRDefault="00000000" w:rsidRPr="00000000" w14:paraId="0000007E">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Avance del 80%. Configuración de servidores Oracle, Linux, NFS y transferencia de 45 TB de datos históricos. Continuará en noviembre y diciembre.</w:t>
      </w:r>
    </w:p>
    <w:p w:rsidR="00000000" w:rsidDel="00000000" w:rsidP="00000000" w:rsidRDefault="00000000" w:rsidRPr="00000000" w14:paraId="0000007F">
      <w:pPr>
        <w:spacing w:after="240" w:before="240" w:line="240" w:lineRule="auto"/>
        <w:jc w:val="both"/>
        <w:rPr>
          <w:rFonts w:ascii="Arial" w:cs="Arial" w:eastAsia="Arial" w:hAnsi="Arial"/>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spacing w:after="240" w:before="240" w:line="240" w:lineRule="auto"/>
        <w:jc w:val="both"/>
        <w:rPr>
          <w:rFonts w:ascii="Arial" w:cs="Arial" w:eastAsia="Arial" w:hAnsi="Arial"/>
          <w:b w:val="1"/>
          <w:bCs w:val="1"/>
        </w:rPr>
      </w:pPr>
      <w:r w:rsidDel="00000000" w:rsidR="00000000" w:rsidRPr="00000000">
        <w:rPr>
          <w:rFonts w:ascii="Arial" w:cs="Arial" w:eastAsia="Arial" w:hAnsi="Arial"/>
          <w:b w:val="1"/>
          <w:bCs w:val="1"/>
          <w:rtl w:val="0"/>
        </w:rPr>
        <w:t xml:space="preserve">RECOMENDACIONES GENERALES</w:t>
      </w:r>
    </w:p>
    <w:p w:rsidR="00000000" w:rsidDel="00000000" w:rsidP="00000000" w:rsidRDefault="00000000" w:rsidRPr="00000000" w14:paraId="00000081">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 Ajustar formalmente procedimientos y metas afectadas por la reestructuración institucional.</w:t>
      </w:r>
    </w:p>
    <w:p w:rsidR="00000000" w:rsidDel="00000000" w:rsidP="00000000" w:rsidRDefault="00000000" w:rsidRPr="00000000" w14:paraId="00000082">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 Priorizar cierre del PINAR, planes de Tecnología y Gobierno de Datos.</w:t>
      </w:r>
    </w:p>
    <w:p w:rsidR="00000000" w:rsidDel="00000000" w:rsidP="00000000" w:rsidRDefault="00000000" w:rsidRPr="00000000" w14:paraId="00000083">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 Reforzar capacidades de SIG-MIPG para avanzar en actualización y monitoreo.</w:t>
      </w:r>
    </w:p>
    <w:p w:rsidR="00000000" w:rsidDel="00000000" w:rsidP="00000000" w:rsidRDefault="00000000" w:rsidRPr="00000000" w14:paraId="00000084">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 Fortalecer articulación interinstitucional para la atención de SAC y educación ambiental.</w:t>
      </w:r>
    </w:p>
    <w:p w:rsidR="00000000" w:rsidDel="00000000" w:rsidP="00000000" w:rsidRDefault="00000000" w:rsidRPr="00000000" w14:paraId="00000085">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 Ajustar metas presupuestales con programación mensual realista.</w:t>
      </w:r>
    </w:p>
    <w:p w:rsidR="00000000" w:rsidDel="00000000" w:rsidP="00000000" w:rsidRDefault="00000000" w:rsidRPr="00000000" w14:paraId="00000086">
      <w:pPr>
        <w:spacing w:after="240" w:before="240" w:line="240" w:lineRule="auto"/>
        <w:jc w:val="both"/>
        <w:rPr>
          <w:rFonts w:ascii="Arial" w:cs="Arial" w:eastAsia="Arial" w:hAnsi="Arial"/>
        </w:rPr>
      </w:pPr>
      <w:r w:rsidDel="00000000" w:rsidR="00000000" w:rsidRPr="00000000">
        <w:rPr>
          <w:rFonts w:ascii="Arial" w:cs="Arial" w:eastAsia="Arial" w:hAnsi="Arial"/>
          <w:rtl w:val="0"/>
        </w:rPr>
        <w:t xml:space="preserve">• Reformular indicadores que no reflejan adecuadamente la gestión.</w:t>
      </w:r>
    </w:p>
    <w:p w:rsidR="00000000" w:rsidDel="00000000" w:rsidP="00000000" w:rsidRDefault="00000000" w:rsidRPr="00000000" w14:paraId="00000087">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Los detalles cualitativos y cuantitativos se pueden consultar en el tablero de PEI en el siguiente enlace:</w:t>
      </w:r>
    </w:p>
    <w:p w:rsidR="00000000" w:rsidDel="00000000" w:rsidP="00000000" w:rsidRDefault="00000000" w:rsidRPr="00000000" w14:paraId="00000088">
      <w:pPr>
        <w:spacing w:after="280" w:before="280" w:line="240" w:lineRule="auto"/>
        <w:jc w:val="both"/>
        <w:rPr>
          <w:rFonts w:ascii="Arial" w:cs="Arial" w:eastAsia="Arial" w:hAnsi="Arial"/>
          <w:b w:val="1"/>
          <w:bCs w:val="1"/>
        </w:rPr>
      </w:pPr>
      <w:hyperlink r:id="rId8">
        <w:r w:rsidDel="00000000" w:rsidR="00000000" w:rsidRPr="00000000">
          <w:rPr>
            <w:rFonts w:ascii="Arial" w:cs="Arial" w:eastAsia="Arial" w:hAnsi="Arial"/>
            <w:b w:val="1"/>
            <w:bCs w:val="1"/>
            <w:color w:val="1155cc"/>
            <w:highlight w:val="white"/>
            <w:u w:val="single"/>
            <w:rtl w:val="0"/>
          </w:rPr>
          <w:t xml:space="preserve">https://lookerstudio.google.com/reporting/85557fce-513a-4e3a-86de-689057a7878c</w:t>
        </w:r>
      </w:hyperlink>
      <w:r w:rsidDel="00000000" w:rsidR="00000000" w:rsidRPr="00000000">
        <w:rPr>
          <w:rtl w:val="0"/>
        </w:rPr>
      </w:r>
    </w:p>
    <w:p w:rsidR="00000000" w:rsidDel="00000000" w:rsidP="00000000" w:rsidRDefault="00000000" w:rsidRPr="00000000" w14:paraId="00000089">
      <w:pPr>
        <w:spacing w:after="240" w:before="24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8A">
      <w:pPr>
        <w:spacing w:after="280" w:before="280" w:line="240" w:lineRule="auto"/>
        <w:jc w:val="both"/>
        <w:rPr>
          <w:rFonts w:ascii="Arial" w:cs="Arial" w:eastAsia="Arial" w:hAnsi="Arial"/>
          <w:b w:val="1"/>
          <w:bCs w:val="1"/>
          <w:color w:val="38761d"/>
          <w:sz w:val="24"/>
          <w:szCs w:val="24"/>
        </w:rPr>
      </w:pPr>
      <w:r w:rsidDel="00000000" w:rsidR="00000000" w:rsidRPr="00000000">
        <w:rPr>
          <w:rtl w:val="0"/>
        </w:rPr>
      </w:r>
    </w:p>
    <w:sectPr>
      <w:headerReference r:id="rId9" w:type="default"/>
      <w:pgSz w:h="15840" w:w="12240" w:orient="portrait"/>
      <w:pgMar w:bottom="1417" w:top="1417" w:left="1701" w:right="1701" w:header="708" w:footer="708"/>
      <w:pgNumType w:start="1"/>
      <w:cols w:equalWidth="0" w:num="2">
        <w:col w:space="708" w:w="4065.0000000000005"/>
        <w:col w:space="0" w:w="4065.00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Arial Unicode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drawing>
        <wp:anchor allowOverlap="1" behindDoc="0" distB="0" distT="0" distL="0" distR="0" hidden="0" layoutInCell="1" locked="0" relativeHeight="0" simplePos="0">
          <wp:simplePos x="0" y="0"/>
          <wp:positionH relativeFrom="margin">
            <wp:posOffset>1443990</wp:posOffset>
          </wp:positionH>
          <wp:positionV relativeFrom="margin">
            <wp:posOffset>-676273</wp:posOffset>
          </wp:positionV>
          <wp:extent cx="2300605" cy="676275"/>
          <wp:effectExtent b="0" l="0" r="0" t="0"/>
          <wp:wrapTopAndBottom distB="0" distT="0"/>
          <wp:docPr id="1733983721" name="image1.png"/>
          <a:graphic>
            <a:graphicData uri="http://schemas.openxmlformats.org/drawingml/2006/picture">
              <pic:pic>
                <pic:nvPicPr>
                  <pic:cNvPr id="0" name="image1.png"/>
                  <pic:cNvPicPr preferRelativeResize="0"/>
                </pic:nvPicPr>
                <pic:blipFill>
                  <a:blip r:embed="rId1"/>
                  <a:srcRect b="10934" l="0" r="0" t="10864"/>
                  <a:stretch>
                    <a:fillRect/>
                  </a:stretch>
                </pic:blipFill>
                <pic:spPr>
                  <a:xfrm>
                    <a:off x="0" y="0"/>
                    <a:ext cx="2300605" cy="67627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line="240" w:lineRule="auto"/>
    </w:pPr>
    <w:rPr>
      <w:rFonts w:ascii="Times New Roman" w:cs="Times New Roman" w:eastAsia="Times New Roman" w:hAnsi="Times New Roman"/>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Ttulo1Car" w:customStyle="1">
    <w:name w:val="Título 1 Car"/>
    <w:basedOn w:val="Fuentedeprrafopredeter"/>
    <w:uiPriority w:val="9"/>
    <w:rsid w:val="0005273D"/>
    <w:rPr>
      <w:rFonts w:ascii="Times New Roman" w:cs="Times New Roman" w:eastAsia="Times New Roman" w:hAnsi="Times New Roman"/>
      <w:b w:val="1"/>
      <w:bCs w:val="1"/>
      <w:kern w:val="36"/>
      <w:sz w:val="48"/>
      <w:szCs w:val="48"/>
      <w:lang w:eastAsia="es-CO"/>
    </w:rPr>
  </w:style>
  <w:style w:type="character" w:styleId="Ttulo3Car" w:customStyle="1">
    <w:name w:val="Título 3 Car"/>
    <w:basedOn w:val="Fuentedeprrafopredeter"/>
    <w:uiPriority w:val="9"/>
    <w:rsid w:val="0005273D"/>
    <w:rPr>
      <w:rFonts w:ascii="Times New Roman" w:cs="Times New Roman" w:eastAsia="Times New Roman" w:hAnsi="Times New Roman"/>
      <w:b w:val="1"/>
      <w:bCs w:val="1"/>
      <w:sz w:val="27"/>
      <w:szCs w:val="27"/>
      <w:lang w:eastAsia="es-CO"/>
    </w:rPr>
  </w:style>
  <w:style w:type="character" w:styleId="Textoennegrita">
    <w:name w:val="Strong"/>
    <w:basedOn w:val="Fuentedeprrafopredeter"/>
    <w:uiPriority w:val="22"/>
    <w:qFormat w:val="1"/>
    <w:rsid w:val="0005273D"/>
    <w:rPr>
      <w:b w:val="1"/>
      <w:bCs w:val="1"/>
    </w:rPr>
  </w:style>
  <w:style w:type="paragraph" w:styleId="NormalWeb">
    <w:name w:val="Normal (Web)"/>
    <w:basedOn w:val="Normal"/>
    <w:uiPriority w:val="99"/>
    <w:semiHidden w:val="1"/>
    <w:unhideWhenUsed w:val="1"/>
    <w:rsid w:val="0005273D"/>
    <w:pPr>
      <w:spacing w:after="100" w:afterAutospacing="1" w:before="100" w:beforeAutospacing="1" w:line="240" w:lineRule="auto"/>
    </w:pPr>
    <w:rPr>
      <w:rFonts w:ascii="Times New Roman" w:cs="Times New Roman" w:eastAsia="Times New Roman" w:hAnsi="Times New Roman"/>
      <w:sz w:val="24"/>
      <w:szCs w:val="24"/>
    </w:rPr>
  </w:style>
  <w:style w:type="paragraph" w:styleId="Encabezado">
    <w:name w:val="header"/>
    <w:basedOn w:val="Normal"/>
    <w:link w:val="EncabezadoCar"/>
    <w:uiPriority w:val="99"/>
    <w:unhideWhenUsed w:val="1"/>
    <w:rsid w:val="00B34027"/>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B34027"/>
  </w:style>
  <w:style w:type="paragraph" w:styleId="Piedepgina">
    <w:name w:val="footer"/>
    <w:basedOn w:val="Normal"/>
    <w:link w:val="PiedepginaCar"/>
    <w:uiPriority w:val="99"/>
    <w:unhideWhenUsed w:val="1"/>
    <w:rsid w:val="00B34027"/>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B34027"/>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lookerstudio.google.com/reporting/85557fce-513a-4e3a-86de-689057a7878c" TargetMode="External"/><Relationship Id="rId8" Type="http://schemas.openxmlformats.org/officeDocument/2006/relationships/hyperlink" Target="https://lookerstudio.google.com/reporting/85557fce-513a-4e3a-86de-689057a7878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Yq0rJDXT63misni+Fhg6oNRAmA==">CgMxLjAaJAoBMBIfCh0IB0IZCgVBcmlhbBIQQXJpYWwgVW5pY29kZSBNUzIOaC5hY3h6cm5kNjR2ZmI4AHIhMUlLenNuQ003WENpTWc4V3ZNMmtuMU82cV9QMUgzcDdx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2025-11-18T17:09:00Z</dcterms:created>
  <dc:creator>FABIAN.CASTANO</dc:creator>
</cp:coreProperties>
</file>